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
                <a:graphic>
                  <a:graphicData uri="http://schemas.microsoft.com/office/word/2010/wordprocessingGroup">
                    <wpg:wgp>
                      <wpg:cNvGrpSpPr/>
                      <wpg:grpSpPr>
                        <a:xfrm>
                          <a:off x="2311650" y="3585300"/>
                          <a:ext cx="6068695" cy="408379"/>
                          <a:chOff x="2311650" y="3585300"/>
                          <a:chExt cx="6068700" cy="389400"/>
                        </a:xfrm>
                      </wpg:grpSpPr>
                      <wpg:grpSp>
                        <wpg:cNvGrpSpPr/>
                        <wpg:grpSpPr>
                          <a:xfrm>
                            <a:off x="2311655" y="3585322"/>
                            <a:ext cx="6068690" cy="389357"/>
                            <a:chOff x="2311653" y="3594580"/>
                            <a:chExt cx="6068695" cy="370825"/>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3"/>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Taller de prácticas profesionalizantes del Sistema P25.</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408379"/>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38" w:lineRule="auto"/>
        <w:rPr>
          <w:color w:val="000000"/>
          <w:sz w:val="24"/>
          <w:szCs w:val="24"/>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propuesta plantea un nuevo enfoque en la capacitación básica en materia de comunicaciones, enfatizando la necesidad de formar personal que no sólo adquiera los conocimientos fundamentales, sino que también sea capaz de observar e identificar en tiempo real al gestor de supervisión del sistema ZoneWatch, así como al gestor de supervisión de microondas, la supervisión de redes y energía, la consola de Radiotracker, Nice Inform, UNS, y la consola de operador que integra los grupos de trabajo del 911 y otras fuerzas. Durante el taller, se analizarán todos los equipos del Máster Site, que incluyen sistemas de repetidoras, sistemas de energía, sistemas de redes, sistemas de microondas, sistemas de grabación y sistemas de geolocalización. Se buscará que los participantes reconozcan y utilicen de manera eficaz dicho equipamiento, infundiendo un sentido de orden y profesionalismo en el uso de herramientas esenciales para todos los servicios policiales.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8">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propuesta está dirigida al personal policial del área técnica, sin distinción de jerarquía y escalafón. Es requisito haber participado en el “Curso de sistemas digitales de radio. Sistema P25”.</w:t>
      </w:r>
    </w:p>
    <w:p w:rsidR="00000000" w:rsidDel="00000000" w:rsidP="00000000" w:rsidRDefault="00000000" w:rsidRPr="00000000" w14:paraId="00000009">
      <w:pPr>
        <w:spacing w:line="360" w:lineRule="auto"/>
        <w:ind w:left="14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2 horas reloj.</w:t>
      </w:r>
    </w:p>
    <w:p w:rsidR="00000000" w:rsidDel="00000000" w:rsidP="00000000" w:rsidRDefault="00000000" w:rsidRPr="00000000" w14:paraId="0000000D">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10 ediciones.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Fecha de inicio y finalización: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Fecha tentativa de inicio de la primera edición: 1 de abril de 2025. Fecha tentativa de finalización de la última edición: 10 de diciembre de 2025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ind w:left="36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2">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10 por edición.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2" w:line="24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radiomovil@comunicaciones.mseg.gba.gov.ar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863"/>
        </w:tabs>
        <w:spacing w:before="42" w:line="360" w:lineRule="auto"/>
        <w:ind w:left="566.9291338582675" w:hanging="360"/>
        <w:rPr>
          <w:rFonts w:ascii="Arial" w:cs="Arial" w:eastAsia="Arial" w:hAnsi="Arial"/>
          <w:color w:val="000000"/>
        </w:rPr>
      </w:pPr>
      <w:r w:rsidDel="00000000" w:rsidR="00000000" w:rsidRPr="00000000">
        <w:rPr>
          <w:rFonts w:ascii="Arial" w:cs="Arial" w:eastAsia="Arial" w:hAnsi="Arial"/>
          <w:color w:val="000000"/>
          <w:rtl w:val="0"/>
        </w:rPr>
        <w:t xml:space="preserve">Teléfono: 0221-4293349 Interno: 73356.</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oG6QPwgLfZmqcC16HBu3f6dJvg==">CgMxLjA4AHIhMWR2ang3Z1ZLMXFaa1l0dC1LWWR4ZFRVZ3RISndnSWRn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2025-05-07T20:56:00Z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